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Propagation libre : ondes acoustiques dans l’air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 étudie la propagation libre des ondes acoustiques dans l’air à l’aide d’un rail et deux récepteurs. On utilise des ondes ultrasonores. On va mesurer la célérité de ces ondes en mesurant la fréquence et la longueur d’onde de l’onde. A l’oscilloscope, avec le module de transformée de Fourier (pas nécessaire), on mesure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 = 40.40 ± 0.05 kHz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On mesure par la suite la longueur d’onde en décalant un récepteur par rapport à un autre fixe. En mode XY, on mesure 20 longueurs d’ondes environ 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20λ = 172 ± 2 mm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On peut appliquer une correction et éviter une erreur systématique compte tenu du fait que l’on lit la distance sur un axe légèrement incliné par rapport à l’axe émetteur - récepteur. A l’aide du décalage latéral entre les récepteurs et l’émetteur de 26 mm et du récepteur fixé à 132 mm longitudinalement du récepteur. On a avec le théorème de Pythagore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20λcorr =p(132 + 20λ)2 + 262 −√1322 + 262 = 170.4 mm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On peut comparer cette valeur avec la valeur tabulée ctab = 20.05 √T = 343.3 m s−1 à T = 293 K.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Démo : en considérant l’air comme un gaz parfait où la propagation ne provoque pas de changement d’entropie ni de température,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 =q 1χS ρ =q γχT ρ =qγPρ =qγRT PMP =qγRM√T = 20.05 √T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Où l’on a utilisé successivement : γ =χTχS, χT = −1V∂V∂P =1P, ρ =MPRT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Quelques remarques : L’émetteur et les récepteurs sont des capteurs piézoélectriques, ils possèdent une bande passante très piquée. On ajuste la fréquence utilisée de sorte à avoir un maximum de signal reçu.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L’humidité de l’air n’influence que très peu la mesure mais à tendance à augmenter la vitesse du son. Une mesure temporelle en envoyant un paquet d’onde est moins précise donc elle n’a pas été utilisée ici.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II) Guide d’ondes hyperfréquences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monomode due aux conditions aux limites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Explication de la propagation dans le câble coaxiale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Cable coaxial de 10m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GBF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Mesure naif par un pulse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On envoie un pulse et on regarde le temps de propagation du pulse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Mesure de la relation de dispersion par une réponse impulsionnel 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On mais une adaptation d'impédance de 50ohm et on regarde le bode en phase pour une réponse impulsionnel c’est la relation de dispersion on à kL =f(w) 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on peut donc remonter à la vitesse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Mesure des modes propres par une réponse impulsionnel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On enlve l'adaptation d'impédance pour avoir une réflexion et regarder le mode propre qui se développe dans le câble le bode nous donne les pique au fréquence de résonance 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