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Manip Référentiels non galiléens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Mesure de l'accélération d’entraînement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accéléromètre commercial : utiliser le TAG1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Avant la manipulation le faire charger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une fois qu’il est chargé appuyer sur réveil puis lancer le logiciel TAG et chercher à s’appareiller  (config BT) avec l’accéléromètre, si cela ne fonctionne pas appuyer sur réveil plusieurs fois et continuer à essayer de s’appareiller 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régler le temps d’acquisition à 1ms (qui correspond à la période d'échantillonnage)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lancer l’acquisition : START TAG puis pour l’arrêter recliquer sur START TAG puis cliquer sur open pour ouvrir le fichier avec “point virgule” pour que ça marche bien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mesurer la vitesse de rotation à l’aide d’une fourche optique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13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 pendule de Foucault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utiliser la GoPRo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fixer le système de façon à ce que le poids soit vertical et perpendiculaire à la table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faire des acquisitions de l’ordre de 10s pour ne pas que ce soit trop lourd à traiter sur tracking meca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lancer l’oscillation du pendule et faire tourner le système (à une fréquence très inférieure à celle des oscillations) puis lancer l’enregistrement avec la gopro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on utilise le logiciel tracking méca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brancher la gopro à l’ordi et récupérer la vidéo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utiliser le programme “mecanique_pendule_de_foucault_saclay.py” : pointer 3 points : le centre de la rotation, la masse et un point sur la table qui permet de mesurer la vitesse de rotation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Hydrostatique dans un référentiel non galilen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Cf mesure par acquisition d’image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2C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Le bifurcateur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cf Physique non linaire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35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