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I) Ecoulement à haut Reynolds : vidange de Torricelli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II) Ecoulement à bas Reynolds : Poiseuille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III) Pertes de charges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caractérisation des pertes de charges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remonter à la différence de pression à partir de la différence de hauteur dans les capillaires + différence de section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diagramme de moody : coefficient de perte de charges en fonction du nombre de Reynolds (diminution de pression et de débit)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Manip surprise 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Mesure de la distance focale d’une lentille =&gt; méthode par autocollimation (le filament de la lampe peut être l’objet) mais aussi méthode de Bessel, Descartes avec régression linéaire, Silbermann : pile à 4f’ (2f’ d’un côté et 2f’ de l’autre, grandissement de -1)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si pas de filtre anticalorique : placer les optiques suffisamment loin de la lampe pour ne pas qu’elles chauffent trop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quand on enlève le miroir on observe quand même une image sur le diaphragme, certaines lentilles possèdent une face réfléchissantes si de bonne qualité : même sans miroir pour ces types de lentilles il est possible de faire la méthode d’autocollimation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prendre des incertitudes protocolaires et les sommer de manière quadratique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Pour une lentille divergente : accoler une lentille convergente de focale connue à la divergente, formule des vergences : 1/f = 1/f1 + 1/f2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-&gt; faire des calculs de Zscore quand on doit comparer à une valeur tabulée (nombre d’écarts types séparant un résultat de la moyenne = (valeur - moyenne)/écart-type) on le compare à 2 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