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color w:val="ff0000"/>
          <w:u w:val="single"/>
        </w:rPr>
      </w:pPr>
      <w:r w:rsidDel="00000000" w:rsidR="00000000" w:rsidRPr="00000000">
        <w:rPr>
          <w:b w:val="1"/>
          <w:color w:val="ff0000"/>
          <w:u w:val="single"/>
          <w:rtl w:val="0"/>
        </w:rPr>
        <w:t xml:space="preserve">Introduction:</w:t>
      </w:r>
    </w:p>
    <w:p w:rsidR="00000000" w:rsidDel="00000000" w:rsidP="00000000" w:rsidRDefault="00000000" w:rsidRPr="00000000" w14:paraId="00000003">
      <w:pPr>
        <w:rPr/>
      </w:pPr>
      <w:r w:rsidDel="00000000" w:rsidR="00000000" w:rsidRPr="00000000">
        <w:rPr>
          <w:rtl w:val="0"/>
        </w:rPr>
        <w:t xml:space="preserve">On se demande pourquoi on doit avoir un sarcophage encors 30 après autour de la centrale de tchernobile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color w:val="ff0000"/>
          <w:u w:val="single"/>
        </w:rPr>
      </w:pPr>
      <w:r w:rsidDel="00000000" w:rsidR="00000000" w:rsidRPr="00000000">
        <w:rPr>
          <w:b w:val="1"/>
          <w:color w:val="ff0000"/>
          <w:u w:val="single"/>
          <w:rtl w:val="0"/>
        </w:rPr>
        <w:t xml:space="preserve">Plan:</w:t>
      </w:r>
    </w:p>
    <w:p w:rsidR="00000000" w:rsidDel="00000000" w:rsidP="00000000" w:rsidRDefault="00000000" w:rsidRPr="00000000" w14:paraId="00000007">
      <w:pPr>
        <w:rPr>
          <w:b w:val="1"/>
          <w:color w:val="0000ff"/>
        </w:rPr>
      </w:pPr>
      <w:r w:rsidDel="00000000" w:rsidR="00000000" w:rsidRPr="00000000">
        <w:rPr>
          <w:rtl w:val="0"/>
        </w:rPr>
      </w:r>
    </w:p>
    <w:p w:rsidR="00000000" w:rsidDel="00000000" w:rsidP="00000000" w:rsidRDefault="00000000" w:rsidRPr="00000000" w14:paraId="00000008">
      <w:pPr>
        <w:numPr>
          <w:ilvl w:val="0"/>
          <w:numId w:val="4"/>
        </w:numPr>
        <w:ind w:left="720" w:hanging="360"/>
        <w:rPr>
          <w:b w:val="1"/>
          <w:color w:val="0000ff"/>
        </w:rPr>
      </w:pPr>
      <w:r w:rsidDel="00000000" w:rsidR="00000000" w:rsidRPr="00000000">
        <w:rPr>
          <w:b w:val="1"/>
          <w:color w:val="0000ff"/>
          <w:rtl w:val="0"/>
        </w:rPr>
        <w:t xml:space="preserve">Stabilité du noyaux</w:t>
      </w:r>
    </w:p>
    <w:p w:rsidR="00000000" w:rsidDel="00000000" w:rsidP="00000000" w:rsidRDefault="00000000" w:rsidRPr="00000000" w14:paraId="00000009">
      <w:pPr>
        <w:numPr>
          <w:ilvl w:val="1"/>
          <w:numId w:val="4"/>
        </w:numPr>
        <w:ind w:left="1440" w:hanging="360"/>
        <w:rPr>
          <w:b w:val="1"/>
          <w:color w:val="0000ff"/>
        </w:rPr>
      </w:pPr>
      <w:r w:rsidDel="00000000" w:rsidR="00000000" w:rsidRPr="00000000">
        <w:rPr>
          <w:b w:val="1"/>
          <w:color w:val="0000ff"/>
          <w:rtl w:val="0"/>
        </w:rPr>
        <w:t xml:space="preserve">Energie de liaison</w:t>
      </w:r>
    </w:p>
    <w:p w:rsidR="00000000" w:rsidDel="00000000" w:rsidP="00000000" w:rsidRDefault="00000000" w:rsidRPr="00000000" w14:paraId="0000000A">
      <w:pPr>
        <w:ind w:left="0" w:firstLine="0"/>
        <w:rPr/>
      </w:pPr>
      <w:r w:rsidDel="00000000" w:rsidR="00000000" w:rsidRPr="00000000">
        <w:rPr>
          <w:rtl w:val="0"/>
        </w:rPr>
        <w:t xml:space="preserve">Parler de cette énergie en ordre de grandeur. Celle ci est colossal d’ou l’idée de fusion</w:t>
      </w:r>
    </w:p>
    <w:p w:rsidR="00000000" w:rsidDel="00000000" w:rsidP="00000000" w:rsidRDefault="00000000" w:rsidRPr="00000000" w14:paraId="0000000B">
      <w:pPr>
        <w:numPr>
          <w:ilvl w:val="1"/>
          <w:numId w:val="4"/>
        </w:numPr>
        <w:ind w:left="1440" w:hanging="360"/>
        <w:rPr>
          <w:b w:val="1"/>
          <w:color w:val="0000ff"/>
        </w:rPr>
      </w:pPr>
      <w:r w:rsidDel="00000000" w:rsidR="00000000" w:rsidRPr="00000000">
        <w:rPr>
          <w:b w:val="1"/>
          <w:color w:val="0000ff"/>
          <w:rtl w:val="0"/>
        </w:rPr>
        <w:t xml:space="preserve">Les modèles</w:t>
      </w:r>
    </w:p>
    <w:p w:rsidR="00000000" w:rsidDel="00000000" w:rsidP="00000000" w:rsidRDefault="00000000" w:rsidRPr="00000000" w14:paraId="0000000C">
      <w:pPr>
        <w:ind w:left="0" w:firstLine="0"/>
        <w:rPr/>
      </w:pPr>
      <w:r w:rsidDel="00000000" w:rsidR="00000000" w:rsidRPr="00000000">
        <w:rPr>
          <w:rtl w:val="0"/>
        </w:rPr>
        <w:t xml:space="preserve">cf le cours e PN de ENS </w:t>
      </w:r>
    </w:p>
    <w:p w:rsidR="00000000" w:rsidDel="00000000" w:rsidP="00000000" w:rsidRDefault="00000000" w:rsidRPr="00000000" w14:paraId="0000000D">
      <w:pPr>
        <w:numPr>
          <w:ilvl w:val="0"/>
          <w:numId w:val="5"/>
        </w:numPr>
        <w:ind w:left="720" w:hanging="360"/>
        <w:rPr>
          <w:u w:val="none"/>
        </w:rPr>
      </w:pPr>
      <w:r w:rsidDel="00000000" w:rsidR="00000000" w:rsidRPr="00000000">
        <w:rPr>
          <w:rtl w:val="0"/>
        </w:rPr>
        <w:t xml:space="preserve">Modèle à particule indépendante</w:t>
      </w:r>
    </w:p>
    <w:p w:rsidR="00000000" w:rsidDel="00000000" w:rsidP="00000000" w:rsidRDefault="00000000" w:rsidRPr="00000000" w14:paraId="0000000E">
      <w:pPr>
        <w:ind w:left="0" w:firstLine="0"/>
        <w:rPr/>
      </w:pPr>
      <w:r w:rsidDel="00000000" w:rsidR="00000000" w:rsidRPr="00000000">
        <w:rPr>
          <w:rtl w:val="0"/>
        </w:rPr>
        <w:t xml:space="preserve">Gaz de Fermi, modèle en couche (bien pour expliquer les nombre magique)</w:t>
      </w:r>
    </w:p>
    <w:p w:rsidR="00000000" w:rsidDel="00000000" w:rsidP="00000000" w:rsidRDefault="00000000" w:rsidRPr="00000000" w14:paraId="0000000F">
      <w:pPr>
        <w:numPr>
          <w:ilvl w:val="0"/>
          <w:numId w:val="5"/>
        </w:numPr>
        <w:ind w:left="720" w:hanging="360"/>
        <w:rPr>
          <w:u w:val="none"/>
        </w:rPr>
      </w:pPr>
      <w:r w:rsidDel="00000000" w:rsidR="00000000" w:rsidRPr="00000000">
        <w:rPr>
          <w:rtl w:val="0"/>
        </w:rPr>
        <w:t xml:space="preserve">Modèle collectif</w:t>
      </w:r>
    </w:p>
    <w:p w:rsidR="00000000" w:rsidDel="00000000" w:rsidP="00000000" w:rsidRDefault="00000000" w:rsidRPr="00000000" w14:paraId="00000010">
      <w:pPr>
        <w:ind w:left="0" w:firstLine="0"/>
        <w:rPr/>
      </w:pPr>
      <w:r w:rsidDel="00000000" w:rsidR="00000000" w:rsidRPr="00000000">
        <w:rPr>
          <w:rtl w:val="0"/>
        </w:rPr>
        <w:t xml:space="preserve">Développé le modèle de la goutte liquide cf les notes</w:t>
      </w:r>
    </w:p>
    <w:p w:rsidR="00000000" w:rsidDel="00000000" w:rsidP="00000000" w:rsidRDefault="00000000" w:rsidRPr="00000000" w14:paraId="00000011">
      <w:pPr>
        <w:ind w:left="0" w:firstLine="0"/>
        <w:rPr/>
      </w:pPr>
      <w:r w:rsidDel="00000000" w:rsidR="00000000" w:rsidRPr="00000000">
        <w:rPr>
          <w:rtl w:val="0"/>
        </w:rPr>
        <w:t xml:space="preserve">On s’appui sur le programme pour commenter chaque terme du modèle</w:t>
      </w:r>
    </w:p>
    <w:p w:rsidR="00000000" w:rsidDel="00000000" w:rsidP="00000000" w:rsidRDefault="00000000" w:rsidRPr="00000000" w14:paraId="00000012">
      <w:pPr>
        <w:numPr>
          <w:ilvl w:val="1"/>
          <w:numId w:val="4"/>
        </w:numPr>
        <w:ind w:left="1440" w:hanging="360"/>
        <w:rPr>
          <w:b w:val="1"/>
          <w:color w:val="0000ff"/>
        </w:rPr>
      </w:pPr>
      <w:r w:rsidDel="00000000" w:rsidR="00000000" w:rsidRPr="00000000">
        <w:rPr>
          <w:b w:val="1"/>
          <w:color w:val="0000ff"/>
          <w:rtl w:val="0"/>
        </w:rPr>
        <w:t xml:space="preserve">VAllée de la stabilité</w:t>
      </w:r>
    </w:p>
    <w:p w:rsidR="00000000" w:rsidDel="00000000" w:rsidP="00000000" w:rsidRDefault="00000000" w:rsidRPr="00000000" w14:paraId="00000013">
      <w:pPr>
        <w:ind w:left="0" w:firstLine="0"/>
        <w:rPr>
          <w:b w:val="1"/>
          <w:color w:val="0000ff"/>
        </w:rPr>
      </w:pPr>
      <w:r w:rsidDel="00000000" w:rsidR="00000000" w:rsidRPr="00000000">
        <w:rPr>
          <w:rtl w:val="0"/>
        </w:rPr>
        <w:t xml:space="preserve">Montrer la stabilité pour un nombre de nucléon qui suis une droite </w:t>
      </w: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numPr>
          <w:ilvl w:val="0"/>
          <w:numId w:val="4"/>
        </w:numPr>
        <w:ind w:left="720" w:hanging="360"/>
        <w:rPr>
          <w:b w:val="1"/>
          <w:color w:val="0000ff"/>
        </w:rPr>
      </w:pPr>
      <w:r w:rsidDel="00000000" w:rsidR="00000000" w:rsidRPr="00000000">
        <w:rPr>
          <w:b w:val="1"/>
          <w:color w:val="0000ff"/>
          <w:rtl w:val="0"/>
        </w:rPr>
        <w:t xml:space="preserve">Radioactivité</w:t>
      </w:r>
    </w:p>
    <w:p w:rsidR="00000000" w:rsidDel="00000000" w:rsidP="00000000" w:rsidRDefault="00000000" w:rsidRPr="00000000" w14:paraId="00000016">
      <w:pPr>
        <w:numPr>
          <w:ilvl w:val="1"/>
          <w:numId w:val="4"/>
        </w:numPr>
        <w:ind w:left="1440" w:hanging="360"/>
        <w:rPr>
          <w:b w:val="1"/>
          <w:color w:val="0000ff"/>
        </w:rPr>
      </w:pPr>
      <w:r w:rsidDel="00000000" w:rsidR="00000000" w:rsidRPr="00000000">
        <w:rPr>
          <w:b w:val="1"/>
          <w:color w:val="0000ff"/>
          <w:rtl w:val="0"/>
        </w:rPr>
        <w:t xml:space="preserve">Les modes de désintégration</w:t>
      </w:r>
    </w:p>
    <w:p w:rsidR="00000000" w:rsidDel="00000000" w:rsidP="00000000" w:rsidRDefault="00000000" w:rsidRPr="00000000" w14:paraId="00000017">
      <w:pPr>
        <w:ind w:left="0" w:firstLine="0"/>
        <w:rPr/>
      </w:pPr>
      <w:r w:rsidDel="00000000" w:rsidR="00000000" w:rsidRPr="00000000">
        <w:rPr>
          <w:rtl w:val="0"/>
        </w:rPr>
        <w:t xml:space="preserve">alpha , beta+, beta-</w:t>
      </w:r>
    </w:p>
    <w:p w:rsidR="00000000" w:rsidDel="00000000" w:rsidP="00000000" w:rsidRDefault="00000000" w:rsidRPr="00000000" w14:paraId="00000018">
      <w:pPr>
        <w:numPr>
          <w:ilvl w:val="1"/>
          <w:numId w:val="4"/>
        </w:numPr>
        <w:ind w:left="1440" w:hanging="360"/>
        <w:rPr>
          <w:b w:val="1"/>
          <w:color w:val="0000ff"/>
        </w:rPr>
      </w:pPr>
      <w:r w:rsidDel="00000000" w:rsidR="00000000" w:rsidRPr="00000000">
        <w:rPr>
          <w:b w:val="1"/>
          <w:color w:val="0000ff"/>
          <w:rtl w:val="0"/>
        </w:rPr>
        <w:t xml:space="preserve">Modèle de Gamow</w:t>
      </w:r>
    </w:p>
    <w:p w:rsidR="00000000" w:rsidDel="00000000" w:rsidP="00000000" w:rsidRDefault="00000000" w:rsidRPr="00000000" w14:paraId="00000019">
      <w:pPr>
        <w:ind w:left="0" w:firstLine="0"/>
        <w:rPr/>
      </w:pPr>
      <w:r w:rsidDel="00000000" w:rsidR="00000000" w:rsidRPr="00000000">
        <w:rPr>
          <w:rtl w:val="0"/>
        </w:rPr>
        <w:t xml:space="preserve">Présentation du modèle et calcule du coefficient de transmission cf ressource et note</w:t>
      </w:r>
    </w:p>
    <w:p w:rsidR="00000000" w:rsidDel="00000000" w:rsidP="00000000" w:rsidRDefault="00000000" w:rsidRPr="00000000" w14:paraId="0000001A">
      <w:pPr>
        <w:numPr>
          <w:ilvl w:val="1"/>
          <w:numId w:val="4"/>
        </w:numPr>
        <w:ind w:left="1440" w:hanging="360"/>
        <w:rPr>
          <w:b w:val="1"/>
          <w:color w:val="0000ff"/>
          <w:u w:val="none"/>
        </w:rPr>
      </w:pPr>
      <w:r w:rsidDel="00000000" w:rsidR="00000000" w:rsidRPr="00000000">
        <w:rPr>
          <w:b w:val="1"/>
          <w:color w:val="0000ff"/>
          <w:rtl w:val="0"/>
        </w:rPr>
        <w:t xml:space="preserve">Temps de demi-vie</w:t>
      </w:r>
    </w:p>
    <w:p w:rsidR="00000000" w:rsidDel="00000000" w:rsidP="00000000" w:rsidRDefault="00000000" w:rsidRPr="00000000" w14:paraId="0000001B">
      <w:pPr>
        <w:ind w:left="0" w:firstLine="0"/>
        <w:rPr/>
      </w:pPr>
      <w:r w:rsidDel="00000000" w:rsidR="00000000" w:rsidRPr="00000000">
        <w:rPr>
          <w:rtl w:val="0"/>
        </w:rPr>
        <w:t xml:space="preserve">Avec la fréquence de redbon on trouve le temps de demi vie qu’on peu regarder pour la désintergation de l’uranium</w:t>
      </w:r>
    </w:p>
    <w:p w:rsidR="00000000" w:rsidDel="00000000" w:rsidP="00000000" w:rsidRDefault="00000000" w:rsidRPr="00000000" w14:paraId="0000001C">
      <w:pPr>
        <w:ind w:left="0" w:firstLine="0"/>
        <w:rPr/>
      </w:pPr>
      <w:r w:rsidDel="00000000" w:rsidR="00000000" w:rsidRPr="00000000">
        <w:rPr>
          <w:rtl w:val="0"/>
        </w:rPr>
        <w:t xml:space="preserve">On voit quelle prends des Millier d’année</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t xml:space="preserve">Ouverture plus joyeuse sur la fusion nucléaire qui exploite comme on le voit un saut d'énergie de liaison bcp plus élevé et donc dégage bcp plus d'énergie et aussi de façon plus sûr car n’est pas une réaction en chaîne comme la fission</w:t>
      </w:r>
    </w:p>
    <w:p w:rsidR="00000000" w:rsidDel="00000000" w:rsidP="00000000" w:rsidRDefault="00000000" w:rsidRPr="00000000" w14:paraId="00000020">
      <w:pPr>
        <w:numPr>
          <w:ilvl w:val="1"/>
          <w:numId w:val="4"/>
        </w:numPr>
        <w:ind w:left="1440" w:hanging="360"/>
        <w:rPr>
          <w:b w:val="1"/>
          <w:color w:val="0000ff"/>
          <w:u w:val="none"/>
        </w:rPr>
      </w:pPr>
      <w:r w:rsidDel="00000000" w:rsidR="00000000" w:rsidRPr="00000000">
        <w:rPr>
          <w:b w:val="1"/>
          <w:color w:val="0000ff"/>
          <w:rtl w:val="0"/>
        </w:rPr>
        <w:t xml:space="preserve">q</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rPr>
          <w:b w:val="1"/>
          <w:color w:val="ff0000"/>
          <w:u w:val="single"/>
        </w:rPr>
      </w:pPr>
      <w:r w:rsidDel="00000000" w:rsidR="00000000" w:rsidRPr="00000000">
        <w:rPr>
          <w:b w:val="1"/>
          <w:color w:val="ff0000"/>
          <w:u w:val="single"/>
          <w:rtl w:val="0"/>
        </w:rPr>
        <w:t xml:space="preserve">Bibliographie:</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Frédéric Mayet, Physique nucléaire appliqué, si il y est </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MQ I Aslangul </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BUP 734 Effet tunnel (Gamow)</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Cours PN ENS</w:t>
      </w:r>
    </w:p>
    <w:p w:rsidR="00000000" w:rsidDel="00000000" w:rsidP="00000000" w:rsidRDefault="00000000" w:rsidRPr="00000000" w14:paraId="00000028">
      <w:pPr>
        <w:rPr>
          <w:b w:val="1"/>
          <w:color w:val="ff0000"/>
          <w:u w:val="single"/>
        </w:rPr>
      </w:pPr>
      <w:r w:rsidDel="00000000" w:rsidR="00000000" w:rsidRPr="00000000">
        <w:rPr>
          <w:b w:val="1"/>
          <w:color w:val="ff0000"/>
          <w:u w:val="single"/>
          <w:rtl w:val="0"/>
        </w:rPr>
        <w:t xml:space="preserve">Expérience &amp; Code:</w:t>
      </w:r>
    </w:p>
    <w:p w:rsidR="00000000" w:rsidDel="00000000" w:rsidP="00000000" w:rsidRDefault="00000000" w:rsidRPr="00000000" w14:paraId="00000029">
      <w:pPr>
        <w:numPr>
          <w:ilvl w:val="0"/>
          <w:numId w:val="3"/>
        </w:numPr>
        <w:ind w:left="720" w:hanging="360"/>
        <w:rPr>
          <w:u w:val="none"/>
        </w:rPr>
      </w:pPr>
      <w:r w:rsidDel="00000000" w:rsidR="00000000" w:rsidRPr="00000000">
        <w:rPr>
          <w:rtl w:val="0"/>
        </w:rPr>
        <w:t xml:space="preserve">Code joint sur le modèle de la goutte</w:t>
      </w:r>
    </w:p>
    <w:p w:rsidR="00000000" w:rsidDel="00000000" w:rsidP="00000000" w:rsidRDefault="00000000" w:rsidRPr="00000000" w14:paraId="0000002A">
      <w:pPr>
        <w:numPr>
          <w:ilvl w:val="0"/>
          <w:numId w:val="3"/>
        </w:numPr>
        <w:ind w:left="720" w:hanging="360"/>
        <w:rPr>
          <w:u w:val="none"/>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color w:val="ff0000"/>
          <w:u w:val="single"/>
          <w:rtl w:val="0"/>
        </w:rPr>
        <w:t xml:space="preserve">Question &amp; Incontournable:</w:t>
      </w:r>
      <w:r w:rsidDel="00000000" w:rsidR="00000000" w:rsidRPr="00000000">
        <w:rPr>
          <w:rtl w:val="0"/>
        </w:rPr>
      </w:r>
    </w:p>
    <w:p w:rsidR="00000000" w:rsidDel="00000000" w:rsidP="00000000" w:rsidRDefault="00000000" w:rsidRPr="00000000" w14:paraId="0000002D">
      <w:pPr>
        <w:numPr>
          <w:ilvl w:val="0"/>
          <w:numId w:val="2"/>
        </w:numPr>
        <w:ind w:left="720" w:hanging="360"/>
        <w:rPr>
          <w:u w:val="none"/>
        </w:rPr>
      </w:pPr>
      <w:r w:rsidDel="00000000" w:rsidR="00000000" w:rsidRPr="00000000">
        <w:rPr>
          <w:rtl w:val="0"/>
        </w:rPr>
        <w:t xml:space="preserve">cf contrendu</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