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thermique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conservation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Loi de Fourier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 de diffusion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Analogie éléctrocinétique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de particule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de lumière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qq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Diffusion d’impulsion : viscosité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Tome I Cohen spin 1/2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Dunod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2B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