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L’énergie électrique en régime sinusoïdal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Puissance dissipée (cf cours adaptation d’impédance)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pourquoi triphasé plutôt que monophasé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II) Distribution de l’énergie électrique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pertes de charge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application à l’alimentation d’une ville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III) Propagation dans un câble coaxial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pertes dans un câble coaxial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