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intro : site RTE pour le mix énergétique français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I) Principe d’un alternateur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Bilan énergétique 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Dunod de PSI : possibilité de convertir de l’énergie mécanique en énergie électrique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Exemple de  la machine à pôles lisses ?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Principe d’un alternateur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II) Production d’énergie électrique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Etude d’une éolienne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Principe d’une centrale nucléaire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III) Transport d’énergie électrique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 triphasé ?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moins de pertes par effet Joule, les alternateurs synchrones génèrent directement du triphasé 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mnophasé : 2 fils : le courant et le neutre 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monophasé : pas de composante pulsée 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pas le câble coax car ne permet pas de transporter de l’énergie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discussion intéressante sur l’épaisseur de Peau pour un câble donné, permet de déterminer la fréquence d’une onde qui peut s’y propager 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autre possibilité : panneaux photovoltaïques 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aujourd’hui on travaille avec de l’alternatif et pas du continu : le rendement des MCC est plus faible que celle des alternateurs et raison historique 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Biblio : physique en applications, 150 problèmes 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