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rappeler rapidement : composantes de la force de Lorentz : composante électrique travaille, magnétique ne travaille pas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Particules chargées dans un champ EM constant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cf cours Rax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II) Application aux collisionneurs de particules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cf ancienne leçon collisionneurs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Accélérateur à courant continu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Accélérateur à courant alternatif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=&gt; relat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