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 : importance de l’oscillateur harmonique dans les petites classes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quelle est la différence entre le traitement classique et le traitement quantique de l’oscillateur harmonique ? Quel est l’intérêt de l’oscillateur harmonique ?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I) Oscillateur harmonique en mécanique classique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Rappels de l’utilité de l’oscillateur harmonique dans différents domaines de la physique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développement de Taylor au voisinage d’une position d’équilibre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Cohen tome 1, chapitre 5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Ondes longitudinales dans les solides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=&gt; discuter sur les limites du modèle (Hélium solide) : cf Cohen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cours Cici page 102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II) Oscillateur harmonique en mécanique quantique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Propriétés générales de l’hamiltonien quantique et valeurs propres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Modèle d’Einstein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cf Diu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=&gt; soit modèle d’Einstein, soit complément A du chapitre 6 du Cohen pour d’autres exemples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CCL : limites du modèle d’Einstein (on considère que dans le solide tous les OH sont de même pulsation) =&gt; modèle de Debeye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bof de parler du modèle de l’électron élastiquement lié car oscillateur harmonique amorti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rajouter une partie pour faire le lien entre aspect quantique et classique (Astrangul)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qu’est ce que ça change en quantique si on se place en 3D ?</w:t>
      </w:r>
      <w:r w:rsidDel="00000000" w:rsidR="00000000" w:rsidRPr="00000000">
        <w:rPr>
          <w:rtl w:val="0"/>
        </w:rPr>
        <w:t xml:space="preserve"> le problème est séparable donc la forme de la solution reste globalement la même mais dégénérescence des niveaux d’énergie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comment a-t-on eu l’idée de poser a et a_croix ?</w:t>
      </w:r>
      <w:r w:rsidDel="00000000" w:rsidR="00000000" w:rsidRPr="00000000">
        <w:rPr>
          <w:rtl w:val="0"/>
        </w:rPr>
        <w:t xml:space="preserve"> si ça commutait on pourrait se dire que ça ressemble à (x-ip)(x+ip)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