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Garing Ondes, chapitre 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 Soutif ondes, chapitre 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II) Ondes longitudinales dans les solides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Modèle masse-ressort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Affinage du modèle : coefficient de Poisson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III) Ondes transversales dans les solides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Mise en équation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Conditions aux limites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CCL : séismes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