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Système en régime libre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Cadre de l’étude 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système linéaire =&gt; définition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distinction entre réponse indicielle et régime libre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Equation d’évolution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RLC série, calcul de delta, différents régimes transitoires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Caractérisation du régime transitoire 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Abaque =&gt; valeurs de dépassement en fonction de Q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temps de réponse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facteur de qualité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Aspect énergétique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on multiplie l’équation par i =&gt; équation en puissance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Transition didactique : On a vu que le régime permanent de la réponse était continu comme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l’entrée. C’est vrai en général, si le système est régit par des équations linéaires, l’évolution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temporelle de la sortie suit celle de l’entrée. Donc si on excite sinusoïdalement, le RP est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sinusoïdal. Etudions ce régime.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II) Système en régime sinusoïdal forcé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Notation complexe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Equation d’évolution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=&gt; on reprend l’équation du RLC mais en RSF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discussion résonance, …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Caractérisation d’un système par une résonance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