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Cas des gaz parfaits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approche thermodynamique 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expression de Cv et Cp, liens avec l’énergie et l’entropie, relation de Mayer, expression en fonction de gamma et R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BFR de thermo chapitre 3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 des gaz parfaits monoatomiques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Formalisme canonique, hamiltonien d’une particule libre,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théorème d’équipartition : on en déduit &lt;E&gt; puis Cv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lien avec l’approche thermo en déterminant Gamma_monoatomique pour l’argon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Diu phy stat p329 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Cas des gaz parfaits diatomiques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D ́etail des diff ́eents termes du hamiltonien, en expliquant pourquoi on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n ́eglige le terme  ́electronique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Terme de translation identique au GP monoatomique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Traitement au tableau pour le terme de vibration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  <w:t xml:space="preserve">Terme de rotation sur slide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ODG de Tvib et Trot, calcul de γdiatomique `a Tamb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Texier, physique statistique, chapitre 8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II) Cas des solides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modèle d’Einstein 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Diu phy stat p378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par analogie avec le terme de vibration du GP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Limites du modèle, modèle de Debeye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  <w:t xml:space="preserve">Comparaison aux donn ́ees exp ́erimentales : OK `a HT (Dulong et Petit),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mais pas la bonne allure `a BT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Pr ́esentation du mod`ele de Debye (hypoth`eses et r ́esultat pour CV , mon-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trer que  ̧ca corrobore mieux l’allure `a BT)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  <w:t xml:space="preserve">préparer le cas des liquides en préparation : Callen, Thermodynamics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