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Première approche : mouvement brownien discret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application de Jean Perrin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II) Deuxième approche : une force aléatoire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force de Langevin, équation de Langevin, relation d’Einstein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CCL : Fokker-Planck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p793 : mouvement brownien quantique =&gt; Physique quantique, fondements tome 1 et un peu plus loin équation de Fokker-Planck-Kramers pour une particule brownienne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Aslangul mécanique quantique - p23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BFR thermo chapitre 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