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biblio : hecht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 xml:space="preserve">Pérez de mécanique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 xml:space="preserve">stick-slip sur l’archer : poly de Combes sur les frottements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attention frottement avec un s !!!!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parler de frottements fluides et frottements solides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intro : cas limites, donner des exemples ou les forces de frottement fluide sont prédominants et d’autres ou frottements secs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Niveau : L2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I) Frottements solides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Action de contact d’un solide sur un autre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détermination de Rn et Rt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pour un solide élastique (cf cours Moulin ?)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Expérience de Newton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présentation des résultats et aspect microscopique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Lois de Amonton-Coulomb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pour ces 3 parties : chapitre 3 Bouloumié mécanique des solides et des fluides, Brasselet mécanique PCSI chapitre 2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Exemple de l’archer de violon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transition : frottements fluides n’existent pas quand solide au repos (ou alors en partie 1 ?)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II) Frottements fluides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pourquoi décomposer la voiture en 2 sous-systèmes ? </w:t>
      </w:r>
      <w:r w:rsidDel="00000000" w:rsidR="00000000" w:rsidRPr="00000000">
        <w:rPr>
          <w:rtl w:val="0"/>
        </w:rPr>
        <w:t xml:space="preserve">il s’agit d’une voiture à 2 roues motrices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voiture à traction = 2 roues motrices à l’avant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voiture à propulsion = 2 roues motrices à l’arrière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 existe des matériaux pour lesquels les coefficients de frottement statiques sont supérieurs à 1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déroule du scotch : phénomène de stick and slip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diagrammes de Moody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