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Historique sur la dualité onde-corpuscule (livre expérimental optique)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I) Caractérisation expérimentale des 2 théories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Fentes de Young 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pour la nature ondulatoire de la lumière 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réalisation expérimentale et mise en équation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Effet photoélectrique 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Expérience d’Einstein =&gt; E = h*nu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II) Dualité onde-corpuscule en mécanique quantique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Expérience des fentes de Young pour une source à photons uniques 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présentation des résultats 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Cohen tome 1 page 11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Formalisme de la mécanique quantique dans le cadre des interférences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Cohen ?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Complémentarité 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parler du fait que la lumière a nature corpusculaire et ondulatoire : cf Cohen page 47 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conséquence : si on connaît le chemin qu’a parcouru le système, c’est-à-dire son aspect corpusculaire, on observe plus son caractère ondulatoire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ouverture ; Basdevant =&gt; interférences d’ondes de matière page 20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