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Apparition d’effets quantiques pour des particules confinées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longueur d’onde de de Broglie thermique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on considère un ensemble de particules dans une boîte 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longueur d’onde de de Broglie 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énergie cinétique d’une particule donnée par la théorie cinétique des gaz (on considère des particules ponctuelles avec 3 degrés de liberté) : impulsion de l’ordre de racine mkT) de cette expression et de la longueur d’onde de de Broglie on déduit la longueur d’onde thermique de de Broglie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cette longueur d’onde décrit l’étalement quantique de la particule =&gt; les effets quantiques se font ressentir sur le gaz de particules si L&lt;longueur d’onde thermique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ordres de grandeur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air à T = 300K : longueur d’onde thermique de 0,05nm, distance entre les particules de l’ordre de 5 nm =&gt; la théorie cinétique des gaz ne tient pas compte des effets quantiques, une description classique est tout à fait possible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gaz d’électrons dans un cristal parfait : le comportement des électrons dans un cristal parfait doit être décrit quantiquement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=&gt; on va pouvoir jouer sur la température et la taille des matériaux considérés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II) Confinement quantique dans un puits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puits carré infini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 on se place à 1D, on s’intéresse à la fonction d’onde de l’électron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équation de Schrödinger vérifiée par l’électron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conclusions : l’énergie fondamentale est non nulle et supérieure au potentiel minimum qui est égal à 0, les énergies propres sont quantifiées, il existe des positions dans la boîte dans laquelle la probabilité de trouver la particule est nulle (en sin carré)(=&gt; contradictoire avec la mécanique classique)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D’autres types de puits, intérêt et applications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puits carré : force qui lie les protons et les neutrons (Georges Gabin : à quelle condition une désintégration alpha peut-elle se produire), puits dans les semi-conducteurs 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une particule alpha est émise par effet Tunnel et confinée dans un puits de potentiel associée à l’interaction forte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semi-conducteurs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puits harmonique, oscillateur harmonique quantique =&gt; l’écart entre les niveaux est constant et énergie minimale non nulle, intérêt : autour des positions d’équilibre (vibrations des phonons, vibrations d’élongations des molécules, rayonnement électromagnétique, …)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à quoi est associé le double puit de la molécule d’azote ? Quelle est son allure ? Pourquoi y a-t-il une barrière ? répulsion électrostatique (VSEPR)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