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expérience introductive : angle de Brewster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I) Onde EM dans les diélectriques (LHI)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Les relations de passage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réflexion totale 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(Garing EM : l’onde transmise est évanescente)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II) Coefficient de Fresnels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Polarisation transverse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Polarisation dans le plan d’incidence 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-&gt; angle de Brewster ?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III) Application au traitement de surface 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Garing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