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Sextant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 266 : principe d’un polariseur à grille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et p 270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BFR EM chapitre 11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Garing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chapitre 3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chapitre 6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I) Comportement d’une onde à un interface vide-métal imparfait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Rappels sur un conducteur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Relation de continuité à l’interface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Coefficients de réflexion et de transmission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II) Comportement d’une onde à une interface vide-métal parfait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Propriétés d’un métal parfait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Conditions aux limites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III) Applications au confinement d’une onde électromagnétique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