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Optimisation d’une étape 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synthèse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Identifier, dans un protocole, les opérations réalisées pour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optimiser la vitesse de formation d’un produit.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Optimisation de la vitesse 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formation d’un produit et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du rendement d’une synthèse.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Justifier l’augmentation du rendement d’une synthèse par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introduction d’un excès d’un réactif ou par élimination d’un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produit du milieu réactionnel.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Mettre en œuvre un protocole de synthèse pour étudier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l’influence de la modification des conditions expérimentales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sur le rendement ou la vitesse.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prérequis : constante d’équilibre et quotient réactionnel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intro et expérience tout du long : estérification de Fischer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I) Optimisation de la vitesse d’une synthèse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chauffer le milieu réactionnel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loi d’arrhénius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exemple : montage à reflux,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utilisation d’un catalyseur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augmentation de la concentration des réactifs en solution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permet d’augmenter les chocs efficaces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II) Optimisation du rendement 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revient à déplacer l’équilibre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température 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pour les réactions qui ne sont pas athermiques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des réactifs en excès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vient abaisser le quotient réactionnel =&gt; déplacement d’équilibre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Elimination d’un des produits de la réaction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ouverture : d’autres considérations à prendre en compte =&gt; chimie verte + coût de la synthèse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