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Suivi temporel 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modélisation macroscopique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Transformations lentes et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rapides.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Facteurs cinétiques 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température, concentration des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réactifs.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Catalyse, catalyseur.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Justifier le choix d’un capteur de suivi temporel de l’évolution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d’un système.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Identifier, à partir de données expérimentales, des facteurs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cinétiques.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Citer les propriétés d’un catalyseur et identifier un catalyseur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à partir de données expérimentales.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Mettre en évidence des facteurs cinétiques et l’effet d’un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catalyseur.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Vitesse volumique de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disparition d’un réactif et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d’apparition d’un produit.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Temps de demi-réaction.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À partir de données expérimentales, déterminer une vitesse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volumique de disparition d’un réactif, une vitesse volumique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d’apparition d’un produit ou un temps de demi-réaction.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Mettre en œuvre une méthode physique pour suivre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l’évolution d’une concentration et déterminer la vitesse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volumique de formation d’un produit ou de disparition d’un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réactif.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Loi de vitesse d’ordre 1.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Identifier, à partir de données expérimentales, si l’évolution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d’une concentration suit ou non une loi de vitesse d’ordre 1.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Capacité numérique : À l’aide d’un langage de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programmation et à partir de données expérimentales, tracer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l’évolution temporelle d’une concentration, d’une vitesse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volumique d’apparition ou de disparition et tester une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relation donnée entre la vitesse volumique de disparition et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la concentration d’un réactif.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I) Définition de la vitesse d’une réaction chimique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cf MPSI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1)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2)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II) Lois de vitesse d’ordre 1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Définition 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cf MPSI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dire que k dépend de la température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Méthodes de mesures de la vitesse d’une réaction chimique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III) Catalyse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