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Rendement de synthèse.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Optimisation du rendement.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Facteurs cinétiques.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Chimie verte (par exemple 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procédé sol-gel).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Chercher et exploiter une FDS et repérer les données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relatives à la toxicité des espèces chimiques.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Déterminer le rendement d’une synthèse en une ou plusieurs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étapes.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Identifier les facteurs permettant d’optimiser 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rendement : changement de réactif, excès d’un réactif,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élimination d’un produit.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Identifier les facteurs permettant d’accélérer une réaction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changement de température, de concentration, utilisation d’un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catalyseur.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Comparer des protocoles de synthèse et choisir le plus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performant en termes de rendement, de coût et de respect de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l’environnement, en s’appuyant sur les principes de la chimie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verte.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Capacité expérimentale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Choisir et mettre en œuvre une variante d’un protocole pour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améliorer le rendement d’une synthèse.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