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un acide faible dilué se comporte comme un acide fort, il n’est pas possible de déterminer le pKa du couple à la demi équivalence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Conductance et conductivité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Solution électrolytique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différence électrolyte fort et électrolyte faible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Notions de conductance et conductivité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Loi de Kohlrausch </w:t>
      </w:r>
    </w:p>
    <w:p w:rsidR="00000000" w:rsidDel="00000000" w:rsidP="00000000" w:rsidRDefault="00000000" w:rsidRPr="00000000" w14:paraId="0000000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conditions de validité de la loi de Kohlrausch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Mesures conductimétriques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Dosage par étalonnage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Détermination d’une constante d’acidité 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manip : on retrouve la constante d’acidité par conductimétrie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Titrage conductimétrique 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analyse qualitative d’abord 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à la conductivité corrigée (pas au programme)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Programme : 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color w:val="b6d7a8"/>
        </w:rPr>
      </w:pPr>
      <w:r w:rsidDel="00000000" w:rsidR="00000000" w:rsidRPr="00000000">
        <w:rPr>
          <w:rFonts w:ascii="Calibri" w:cs="Calibri" w:eastAsia="Calibri" w:hAnsi="Calibri"/>
          <w:color w:val="b6d7a8"/>
          <w:rtl w:val="0"/>
        </w:rPr>
        <w:t xml:space="preserve">Conductivité, conductance. Loi de Kohlrausch. Conductimétrie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Dosage par étalonnage. Titrage par précipitation. Titrage acide-base. - </w:t>
      </w:r>
      <w:r w:rsidDel="00000000" w:rsidR="00000000" w:rsidRPr="00000000">
        <w:rPr>
          <w:rFonts w:ascii="Calibri" w:cs="Calibri" w:eastAsia="Calibri" w:hAnsi="Calibri"/>
          <w:color w:val="b6d7a8"/>
          <w:rtl w:val="0"/>
        </w:rPr>
        <w:t xml:space="preserve">Définir la conductivité d’une solution aqueuse. - Relier la conductance et la conductivité. - Calculer la conductivité d’une solution à partir des conductivités ioniques molaires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b6d7a8"/>
          <w:rtl w:val="0"/>
        </w:rPr>
        <w:t xml:space="preserve">- Interpréter ou prévoir l’allure d’une courbe de titrage conductimétrique à partir de données, sans tenir compte de l’effet de la dilution. - Déterminer la concentration d’une espèce à l’aide de données d’un titrage conductimétrique. Capacités expérimentales : - Déterminer la valeur d’une constante d’équilibre à partir de mesures conductimétriques. - Concevoir et mettre en œuvre un protocole de dosage pour déterminer la concentration d’une solution inconnue : - par comparaison à une gamme d'étalonnage ;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par titrage, la réaction support étant une réaction de précipitation ou une réaction acide-base. Capacités numériques : - Tracer une courbe de titrage conductimétrique et déterminer le volume à l’équivalence à l’aide d’un tableur.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