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prendre en prérequis la notion de constante d’équilibre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I) Espèces acides et basiques en solution aqueuse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Réaction d’une espèce acide / basique avec l’eau 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Notions d’acide fort et de base forte, conséquences</w:t>
      </w:r>
    </w:p>
    <w:p w:rsidR="00000000" w:rsidDel="00000000" w:rsidP="00000000" w:rsidRDefault="00000000" w:rsidRPr="00000000" w14:paraId="00000006">
      <w:pPr>
        <w:ind w:left="0" w:firstLine="0"/>
        <w:rPr/>
      </w:pPr>
      <w:r w:rsidDel="00000000" w:rsidR="00000000" w:rsidRPr="00000000">
        <w:rPr>
          <w:rtl w:val="0"/>
        </w:rPr>
        <w:t xml:space="preserve">-&gt; comparer la force de 2 acides faibles à partir de leur pKa </w:t>
      </w:r>
    </w:p>
    <w:p w:rsidR="00000000" w:rsidDel="00000000" w:rsidP="00000000" w:rsidRDefault="00000000" w:rsidRPr="00000000" w14:paraId="00000007">
      <w:pPr>
        <w:ind w:left="0" w:firstLine="0"/>
        <w:rPr/>
      </w:pPr>
      <w:r w:rsidDel="00000000" w:rsidR="00000000" w:rsidRPr="00000000">
        <w:rPr>
          <w:rtl w:val="0"/>
        </w:rPr>
        <w:t xml:space="preserve">-&gt; influence du pKa sur la valeur du coefficient de dissociation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Relation de Henderson-Hasselbalch</w:t>
      </w:r>
    </w:p>
    <w:p w:rsidR="00000000" w:rsidDel="00000000" w:rsidP="00000000" w:rsidRDefault="00000000" w:rsidRPr="00000000" w14:paraId="00000009">
      <w:pPr>
        <w:ind w:left="0" w:firstLine="0"/>
        <w:rPr/>
      </w:pPr>
      <w:r w:rsidDel="00000000" w:rsidR="00000000" w:rsidRPr="00000000">
        <w:rPr>
          <w:rtl w:val="0"/>
        </w:rPr>
        <w:t xml:space="preserve">l’établir</w:t>
      </w:r>
    </w:p>
    <w:p w:rsidR="00000000" w:rsidDel="00000000" w:rsidP="00000000" w:rsidRDefault="00000000" w:rsidRPr="00000000" w14:paraId="0000000A">
      <w:pPr>
        <w:ind w:left="0" w:firstLine="0"/>
        <w:rPr/>
      </w:pPr>
      <w:r w:rsidDel="00000000" w:rsidR="00000000" w:rsidRPr="00000000">
        <w:rPr>
          <w:rtl w:val="0"/>
        </w:rPr>
        <w:t xml:space="preserve">estimer la valeur du pH d’une solution aqueuse d’acide fort, de base forte, d’une solution tampon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Constante d’équilibre d’une réaction acido-basique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- Exprimer puis calculer la constante d’équilibre d’une réaction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acide-base.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II) Titrages acido-basiques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Présentation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Dosage d’un acide fort par une base forte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Dosage d’un acide faible par une base forte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Estimer une valeur approchée de pKa par analyse d’une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courbe de titrage pH-métrique.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Choisir un indicateur coloré, le pH à l’équivalence étant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connu.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Définir l’équivalence lors d’un titrage.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pH d’une solution aqueuse.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Titrages acide-base directs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et indirects.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Utiliser un diagramme de distribution des espèces pour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exploiter une courbe de titrage impliquant un polyacide ou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une polybase.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