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Dans la continuité de la classe de première, la vitesse d’une transformation chimique 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décrite en introduisant la loi de vitesse et l’ordre de réaction qui peut être déterminé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expérimentalement en réalisant un suivi cinétique. Cette partie du programme est réinvestie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dans la partie traitant de la radioactivité.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Loi de vitesse, constante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 vitesse.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Ordre de réaction.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Temps de demi-réaction.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Établir la loi d’évolution de la concentration d’une espèce en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fonction du temps pour une réaction d’ordre 0 ou d’ordre 1.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Déterminer l’ordre d’une réaction et la constante de vitesse 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exploitant des données issues d’un suivi cinétique.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Déterminer le temps de demi-réaction.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Capacités expérimentale et numérique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Réaliser le suivi cinétique d’une transformation chimique et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l’exploiter pour déterminer l’ordre de réaction.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Notions du programme de mathématiques associées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Équations différentielles. Exponentielle. Logarithme népérien.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