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Réactions acido-basiques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 constante d’acidité ;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 diagramme de prédominance, de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distribution 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exemples usuels d’acides et bases : nom,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formule et nature – faible ou forte – des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acides sulfurique, nitrique, chlorhydrique,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phosphorique, acétique, de la soude, l’ion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Identifier le caractère acido-basique d’une réaction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en solution aqueuse.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Écrire l’équation de la réaction modélisant une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transformation en solution aqueuse en tenant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compte des caractéristiques du milieu réactionnel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(nature des espèces chimiques en présence, pH...)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et des observations expérimentales.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hydrogénocarbonate, l’ammoniac.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