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Modèle du cristal parfait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Solide amorphe, solide cristallin, solide semi-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cristallin ; variétés allotropiques.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Illustrer l’influence des conditions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expérimentales sur la formation de solides et de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solides cristallins.</w:t>
      </w:r>
    </w:p>
    <w:p w:rsidR="00000000" w:rsidDel="00000000" w:rsidP="00000000" w:rsidRDefault="00000000" w:rsidRPr="00000000" w14:paraId="00000008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Description du cristal parfait ; population,</w:t>
      </w:r>
    </w:p>
    <w:p w:rsidR="00000000" w:rsidDel="00000000" w:rsidP="00000000" w:rsidRDefault="00000000" w:rsidRPr="00000000" w14:paraId="00000009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coordinence, compacité, masse volumique.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Rayons métallique, covalent, de van der Waals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ou ionique.</w:t>
      </w:r>
    </w:p>
    <w:p w:rsidR="00000000" w:rsidDel="00000000" w:rsidP="00000000" w:rsidRDefault="00000000" w:rsidRPr="00000000" w14:paraId="0000000C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Décrire un cristal parfait comme un assemblage de</w:t>
      </w:r>
    </w:p>
    <w:p w:rsidR="00000000" w:rsidDel="00000000" w:rsidP="00000000" w:rsidRDefault="00000000" w:rsidRPr="00000000" w14:paraId="0000000D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mailles parallélépipédiques.</w:t>
      </w:r>
    </w:p>
    <w:p w:rsidR="00000000" w:rsidDel="00000000" w:rsidP="00000000" w:rsidRDefault="00000000" w:rsidRPr="00000000" w14:paraId="0000000E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Déterminer la population, la coordinence et la</w:t>
      </w:r>
    </w:p>
    <w:p w:rsidR="00000000" w:rsidDel="00000000" w:rsidP="00000000" w:rsidRDefault="00000000" w:rsidRPr="00000000" w14:paraId="0000000F">
      <w:pPr>
        <w:rPr>
          <w:color w:val="00ffff"/>
        </w:rPr>
      </w:pPr>
      <w:r w:rsidDel="00000000" w:rsidR="00000000" w:rsidRPr="00000000">
        <w:rPr>
          <w:color w:val="00ffff"/>
          <w:rtl w:val="0"/>
        </w:rPr>
        <w:t xml:space="preserve">compacité pour une structure fournie.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Déterminer la valeur de la masse volumique d’un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matériau cristallisé selon une structure cristalline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fournie.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Relier le rayon métallique, covalent, de van der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Waals ou ionique, selon le cas, aux paramètres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d’une maille donnée.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Utiliser un logiciel ou des modèles cristallins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pour visualiser des mailles et des sites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interstitiels et pour déterminer des paramètres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géométriques.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Description des modèles d’empilement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compact de sphères identiques.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Localiser les interstices tétraédriques et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octaédriques entre les plans d’empilement.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Maille conventionnelle CFC et ses sites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interstitiels.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Localiser, dénombrer les sites tétraédriques et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octaédriques d’une maille CFC et déterminer leur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habitabilité.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Limites du modèle du cristal parfait.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Confronter des données expérimentales aux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prévisions du modèle.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