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principe de construction, lecture et utilisation d’un diagramme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déterminer la valeur de la pente sur une frontière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justifier la position d’une frontière verticale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prévoir le caractère thermodynamiquement favorisé ou non d’une transformation par superposition de diagrammes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diagramme potentiel pH de l’eau : prévoir la stabilité des espèces dans l’eau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prévoir une dismutation ou une médiamutation en fonction du pH du milieu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confronter des prévisions à des données expérimentales et interpréter d’éventuels écarts en termes cinétiques (eau oxygénée)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