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Optimisation d’un procédé chimique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par modification de la valeur de K° 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par modification de la valeur du quotient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réactionnel.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Identifier les paramètres d’influence et leur sens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d’évolution pour optimiser une synthèse ou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minimiser la formation d’un produit secondaire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indésirable.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Approche documentaire : à partir de documents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décrivant une unité de synthèse industrielle,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analyser les choix industriels, aspects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environnementaux inclus.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