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État standard.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93c47d"/>
          <w:rtl w:val="0"/>
        </w:rPr>
        <w:t xml:space="preserve">Enthalpie standard de réaction.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Enthalpie standard de changement d’état.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Enthalpie standard de formation, état standard de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référence d'un élément.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Loi de Hess.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Déterminer l'enthalpie standard de réaction à l'aide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 tables de données thermodynamiques ou de la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loi de Hess.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Effets thermiques pour une transformation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isobare 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transfert thermique causé par la transformation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chimique en réacteur isobare isotherme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(relation ∆H = Qp = ξ ∆rH°) 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transformation chimique exothermique ou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endothermique.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Prévoir le sens du transfert thermique entre le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système en transformation chimique et le milieu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extérieur.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Évaluer la température atteinte par un système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siège d’une transformation chimique supposée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isobare et réalisée dans un réacteur adiabatique.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Mettre en œuvre une démarche expérimentale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mettant en jeu des effets thermiques d’une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transformation chimique.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