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Synthèse d’une espèce chimique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présente dans la nature.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Établir, à partir de données expérimentales, qu’une espèce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chimique synthétisée au laboratoire peut être identique à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une espèce chimique synthétisée dans la nature.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Réaliser le schéma légendé d’un montage à reflux et d’une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chromatographie sur couche mince.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Mettre en œuvre un montage à reflux pour synthétiser une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espèce chimique présente dans la nature.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Mettre en œuvre une chromatographie sur couche mince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pour comparer une espèce synthétisée et une espèce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extraite de la nature.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intro : nécessité de la synthèse chimique =&gt; si on veut produire de l’aspirine pour toute l’humanité : couper 200 saules par heure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vanilline : extrait naturel super cher par rapport aux espèces utilisées pour la synthèse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plein de manips =&gt; faire les montages en live pour prendre du temps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