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Synthèse d’un composé organique.</w:t>
      </w:r>
    </w:p>
    <w:p w:rsidR="00000000" w:rsidDel="00000000" w:rsidP="00000000" w:rsidRDefault="00000000" w:rsidRPr="00000000" w14:paraId="00000002">
      <w:pPr>
        <w:rPr>
          <w:color w:val="93c47d"/>
        </w:rPr>
      </w:pPr>
      <w:r w:rsidDel="00000000" w:rsidR="00000000" w:rsidRPr="00000000">
        <w:rPr>
          <w:color w:val="93c47d"/>
          <w:rtl w:val="0"/>
        </w:rPr>
        <w:t xml:space="preserve">- Choisir le matériel adapté pour prélever les réactifs nécessaires à un protocole de synthèse donné.</w:t>
      </w:r>
    </w:p>
    <w:p w:rsidR="00000000" w:rsidDel="00000000" w:rsidP="00000000" w:rsidRDefault="00000000" w:rsidRPr="00000000" w14:paraId="00000003">
      <w:pPr>
        <w:rPr>
          <w:color w:val="93c47d"/>
        </w:rPr>
      </w:pPr>
      <w:r w:rsidDel="00000000" w:rsidR="00000000" w:rsidRPr="00000000">
        <w:rPr>
          <w:color w:val="93c47d"/>
          <w:rtl w:val="0"/>
        </w:rPr>
        <w:t xml:space="preserve">- Justifier l’utilisation d’un montage à reflux et d’une ampoule de coulée.</w:t>
      </w:r>
    </w:p>
    <w:p w:rsidR="00000000" w:rsidDel="00000000" w:rsidP="00000000" w:rsidRDefault="00000000" w:rsidRPr="00000000" w14:paraId="00000004">
      <w:pPr>
        <w:rPr>
          <w:color w:val="93c47d"/>
        </w:rPr>
      </w:pPr>
      <w:r w:rsidDel="00000000" w:rsidR="00000000" w:rsidRPr="00000000">
        <w:rPr>
          <w:color w:val="93c47d"/>
          <w:rtl w:val="0"/>
        </w:rPr>
        <w:t xml:space="preserve">Capacités expérimentales :</w:t>
      </w:r>
    </w:p>
    <w:p w:rsidR="00000000" w:rsidDel="00000000" w:rsidP="00000000" w:rsidRDefault="00000000" w:rsidRPr="00000000" w14:paraId="00000005">
      <w:pPr>
        <w:rPr>
          <w:color w:val="93c47d"/>
        </w:rPr>
      </w:pPr>
      <w:r w:rsidDel="00000000" w:rsidR="00000000" w:rsidRPr="00000000">
        <w:rPr>
          <w:color w:val="93c47d"/>
          <w:rtl w:val="0"/>
        </w:rPr>
        <w:t xml:space="preserve">Prélever les réactifs pour une synthèse.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color w:val="b6d7a8"/>
          <w:rtl w:val="0"/>
        </w:rPr>
        <w:t xml:space="preserve">Réaliser un montage à reflux</w:t>
      </w:r>
      <w:r w:rsidDel="00000000" w:rsidR="00000000" w:rsidRPr="00000000">
        <w:rPr>
          <w:rtl w:val="0"/>
        </w:rPr>
        <w:t xml:space="preserve"> ; utiliser une ampoule de coulée.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Extraction, séparation et purification.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- Justifier le choix d’un solvant, pour extraire une espèce chimique d’un mélange réactionnel, à l’aide de données tabulées.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Distillation simple et recristallisation.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Expliquer le principe d’une distillation simple.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- Expliquer le principe d’une recristallisation en justifiant le choix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du solvant utilisé.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Capacités expérimentales : réaliser une distillation simple, une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recristallisation, une filtration, </w:t>
      </w:r>
      <w:r w:rsidDel="00000000" w:rsidR="00000000" w:rsidRPr="00000000">
        <w:rPr>
          <w:color w:val="93c47d"/>
          <w:rtl w:val="0"/>
        </w:rPr>
        <w:t xml:space="preserve">une filtration sous vide</w:t>
      </w:r>
      <w:r w:rsidDel="00000000" w:rsidR="00000000" w:rsidRPr="00000000">
        <w:rPr>
          <w:rtl w:val="0"/>
        </w:rPr>
        <w:t xml:space="preserve">, une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extraction par solvant, un séchage.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Contrôles de pureté, chromatographie sur couche mince (CCM).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Expliquer le principe de la chromatographie sur couche mince.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Commenter la pureté d’un produit à l’aide d’une observation (CCM).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Capacités expérimentales : Effectuer une CCM et interpréter les chromatogrammes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obtenus. Mesurer une température de fusion.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Rendement. - Déterminer le réactif limitant d’une synthèse pour calculer le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rendement en produit purifié en utilisant éventuellement un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tableau d’avancement.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CCM et montage à reflux déjà au programme de seconde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