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Dosages directs par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titrage (l’équation de la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réaction support étant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donnée et supposée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totale).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Définir l’équivalence lors d’un dosage.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Déterminer les concentrations des espèces présentes dans le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milieu réactionnel au cours du dosage en utilisant éventuellement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 tableau d’avancement.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Déterminer la valeur de la concentration d’une solution inconnue.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Déterminer le volume à l’équivalence en exploitant une courbe de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dosage pH-métrique.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Estimer une valeur approchée de pKa par analyse d’une courbe de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dosage pH-métrique.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Capacités expérimentales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Estimer la valeur du volume à l’équivalence.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Réaliser un dosage par changement de couleur.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Réaliser un dosage pH-métrique.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Repérer une équivalence.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Exploiter les incertitudes-types, obtenues par une évaluation de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type A, pour comparer un dosage pH-métrique et un dosage avec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indicateur coloré.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Capacités numériques : tracer une courbe de dosage pH-métrique et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déterminer le volume à l’équivalence à l’aide d’un logiciel.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Dosages par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étalonnage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spectrophotométrique.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Connaître et utiliser la loi de Beer-Lambert et ses limites.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Capacité expérimentale : concevoir et mettre en œuvre un protocole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pour déterminer la concentration d’une solution à l’aide d’une gamme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d’étalonnage.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Capacité numérique : tracer et exploiter une courbe d’étalonnage à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l’aide d’un tableur.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