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 : Au delà de la nécessité de savoir quelle espèce se trouve dans un flacon inconnu =&gt; l’identification d’espèces organiques est essentielle dans les synthèses avant de procéder à la purification (il est nécessaire de savoir quelles espèces sont présentes avec l’espèce qu’on souhaite synthétiser de façon à choisir la technique la plus efficace pour se débarrasser de ces impuretés et de les purifier). Fil directeur ici : synthèse de l’aspirine : une fois que la première étape est achevée : comment savoir quelles sont les espèces encore en présence ?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programme : Propriétés physiques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d’espèces chimiques : températures de changement d’état, masse volumique. Interaction rayonnement-matière. Spectroscopies UV-visible, IR. Capacité expérimentale : évaluer la température d’un changement d’état et la masse volumique d’une espèce chimique.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Relier la structure moléculaire au type de rayonnement absorbé : UV, visible ou IR.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Relier la couleur perçue à la longueur d’onde du rayonnement absorbé.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Utiliser des banques de données pour identifier ou confirmer des structures à partir de spectres.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attendu chez l’élève : soit on détermine une structure, soit on la confirme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utiliser une banque de données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I) Analyse par l’étude des propriétés physiques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Température de changement d’état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Chromatographie sur couche mince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II) Analyse par interaction entre matière et rayonnement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mettre une slide avec le spectre du rayonnement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Spectroscopie Infra Rouge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 particulier des espèces colorées : absorbance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différentes solutions bleues : bleu de méthylène, solution de sulfate de cuivre, bleu patenté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Remarque : solution aqueuse de sulfate de cuivre : SO4 2- contre-ion dans l’eau et le Cu2+ forme un complexe pentahydraté avec les molécules d’eau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Conclusion : on a pu identifier maintenant on va quantifier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