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A) Détermination de la composition du système initial à l’aide de grandeurs physiques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Absorbance, spectre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d’absorption, couleur d’une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espèce en solution, loi de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Beer-Lambert.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Expliquer ou prévoir la couleur d’une espèce en solution à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partir de son spectre UV-visible.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Déterminer la concentration d’un soluté à partir de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données expérimentales relatives à l’absorbance de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solutions de concentrations connues.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Proposer et mettre en œuvre un protocole pour réaliser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une gamme étalon et déterminer la concentration d’une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espèce colorée en solution par des mesures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d’absorbance. Tester les limites d’utilisation du protocole.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