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A) De la structure à la polarité d’une entité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Schéma de Lewis d’une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molécule, d’un ion mono ou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polyatomique.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Lacune électronique.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Établir le schéma de Lewis de molécules et d’ions mono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ou polyatomiques, à partir du tableau périodique : 22 ,H,O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22 ,COO,H,N 32 HCl,,CH,NH 34 ,Na,OH,H 4 ,OH,Cl,NH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-2 O 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Géométrie des entités.Interpréter la géométrie d’une entité à partir de son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schéma de Lewis.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Utiliser des modèles moléculaires ou des logiciels de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représentation moléculaire pour visualiser la géométrie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d’une entité.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Électronégativité des atomes,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évolution dans le tableau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périodique.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Polarisation d’une liaison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covalente, polarité d’une entité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moléculaire.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Déterminer le caractère polaire d’une liaison à partir de la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donnée de l’électronégativité des atomes.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Déterminer le caractère polaire ou apolaire d’une entité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moléculaire à partir de sa géométrie et de la polarité 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ses liaisons.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B) De la structure des entités à la cohésion et à la solubilité/miscibilité d’espèces chimiques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Cohésion dans un solide.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Modélisation par des interactions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entre ions, entre entités polaires,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entre entités apolaires et/ou par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pont hydrogène.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Expliquer la cohésion au sein de composés solides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ioniques et moléculaires par l’analyse des interactions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entre entités.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Dissolution des solides ioniques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dans l’eau. Équation de réaction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 dissolution.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Expliquer la capacité de l’eau à dissocier une espèce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ionique et à solvater les ions.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Modéliser, au niveau macroscopique, la dissolution d’un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composé ionique dans l’eau par une équation de réaction,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en utilisant les notations (s) et (aq).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Calculer la concentration des ions dans la solution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obtenue.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Extraction par un solvant.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Solubilité dans un solvant.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Miscibilité de deux liquides.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Expliquer ou prévoir la solubilité d’une espèce chimique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dans un solvant par l’analyse des interactions entre les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entités.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Comparer la solubilité d’une espèce solide dans différents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solvants (purs ou en mélange).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Interpréter un protocole d’extraction liquide-liquide à partir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des valeurs de solubilités de l’espèce chimique dans les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deux solvants.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Choisir un solvant et mettre en œuvre un protocole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d’extraction liquide-liquide d’un soluté moléculaire.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Hydrophilie/lipophilie/amphiphilie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d’une espèce chimique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organique.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Expliquer le caractère amphiphile et les propriétés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lavantes d’un savon à partir de la formule semi-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développée de ses entités. Citer des applications usuelles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de tensioactifs.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Illustrer les propriétés des savons.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