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Définir la solubilité molaire et massique d’une espèce</w:t>
      </w:r>
    </w:p>
    <w:p w:rsidR="00000000" w:rsidDel="00000000" w:rsidP="00000000" w:rsidRDefault="00000000" w:rsidRPr="00000000" w14:paraId="00000002">
      <w:pPr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chimique.</w:t>
      </w:r>
    </w:p>
    <w:p w:rsidR="00000000" w:rsidDel="00000000" w:rsidP="00000000" w:rsidRDefault="00000000" w:rsidRPr="00000000" w14:paraId="00000003">
      <w:pPr>
        <w:rPr>
          <w:color w:val="93c47d"/>
        </w:rPr>
      </w:pPr>
      <w:r w:rsidDel="00000000" w:rsidR="00000000" w:rsidRPr="00000000">
        <w:rPr>
          <w:color w:val="93c47d"/>
          <w:rtl w:val="0"/>
        </w:rPr>
        <w:t xml:space="preserve">Exploiter des données sur la solubilité pour établir qu’une</w:t>
      </w:r>
    </w:p>
    <w:p w:rsidR="00000000" w:rsidDel="00000000" w:rsidP="00000000" w:rsidRDefault="00000000" w:rsidRPr="00000000" w14:paraId="00000004">
      <w:pPr>
        <w:rPr>
          <w:color w:val="93c47d"/>
        </w:rPr>
      </w:pPr>
      <w:r w:rsidDel="00000000" w:rsidR="00000000" w:rsidRPr="00000000">
        <w:rPr>
          <w:color w:val="93c47d"/>
          <w:rtl w:val="0"/>
        </w:rPr>
        <w:t xml:space="preserve">solution est saturée ou non.</w:t>
      </w:r>
    </w:p>
    <w:p w:rsidR="00000000" w:rsidDel="00000000" w:rsidP="00000000" w:rsidRDefault="00000000" w:rsidRPr="00000000" w14:paraId="00000005">
      <w:pPr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Solution saturée.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Influence du pH et de la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température.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Relier la solubilité d’une espèce chimique dans l’eau ou dans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un solvant organique à sa structure en utilisant les termes 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hydrophile, hydrophobe, lipophile, lipophobe, amphiphile.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Comparer les solubilités d’une espèce chimique dans l’eau ou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dans un solvant organique en analysant les structures du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soluté et des solvants.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Interpréter qualitativement l’influence du pH sur la solubilité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d’une espèce chimique dans l’eau.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Capacité expérimentale : mettre en œuvre un protocole pour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étudier l’influence du pH et de la température sur la solubilité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d’une espèce chimique.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prérequis : leçon sur les acides et les bases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I) Solubilité d’une espèce chimique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Définitions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Effet d’ion commun 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II) Lien entre la structure d’une espèce chimique et la solubilité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Mise en solution d’une espèce 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notion de polarité des molécules au programme 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interactions de VdW et liaison hydrogène au programme 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analogie avec le changement d’état qui est au programme : pour faire passer un corps pur vers un autre état moins ordonné, il faut lui fournir l’énergie nécessaire pour rompre les interactions entre les molécules qui le constituent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force électrostatique pas au programme mais la notion de force est au programme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Différents solvants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Application à l’extraction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III) Influence du pH et de la température sur la solubilité 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au programme : acide faible ne réagit pas totalement avec l’eau 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acide carbo au programme 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dire que l’avancement de la réaction a augmenté mais constante d’équilibre pas du tout au programme 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